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Anziani ed adulti con disagio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Inserimenti in strutture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nell'inserimento in strutture.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BC6EE6">
              <w:rPr>
                <w:rFonts w:ascii="Arial" w:hAnsi="Arial"/>
                <w:color w:val="000000"/>
              </w:rPr>
              <w:t>36/2023 (artt. 48,49,50)</w:t>
            </w:r>
            <w:r w:rsidRPr="007137E0">
              <w:rPr>
                <w:rFonts w:ascii="Arial" w:hAnsi="Arial"/>
                <w:color w:val="000000"/>
              </w:rPr>
              <w:t xml:space="preserve"> e relative linee guida ANAC; art. 1, co. 502, Legge 208/2015 (Legge di Stabilita' 2016); art. 1, co 1., D.L. 95/2012, convertito con modificazioni con Legge 135/2012; Regolamento comunale per la disciplina dei contratti - Legge regionale - D.P.R. 616/1977 - L. 328/2000 - Legge quadro per la realizzazione del sistema integrato di interventi e servizi sociali - Regolamento per l'erogazione dei servizi di assistenza agli 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 IndirizzoPiazza Signorelli n.1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B4AED" w:rsidRDefault="00AB4AED" w:rsidP="00AB4AE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F4FA2" w:rsidRDefault="00AB4AED" w:rsidP="00AB4AE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F4FA2" w:rsidRDefault="00BC6EE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Anziani ed adulti con disagio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C6EE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F4FA2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B4AED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C6EE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6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2026-06-12T19:14:00Z</dcterms:modified>
</cp:coreProperties>
</file>